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DE" w:rsidRDefault="000138DE" w:rsidP="000138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BAROUL ARGEŞ</w:t>
      </w:r>
    </w:p>
    <w:p w:rsidR="000138DE" w:rsidRDefault="000138DE" w:rsidP="000138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138DE" w:rsidRDefault="000138DE" w:rsidP="000138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CONSILIUL BAROULUI ARGEŞ</w:t>
      </w:r>
    </w:p>
    <w:p w:rsidR="000138DE" w:rsidRDefault="000138DE" w:rsidP="000138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ŞEDINŢA DE CONSILIU DIN 20.10.2025, ora 15.00 </w:t>
      </w:r>
    </w:p>
    <w:p w:rsidR="000138DE" w:rsidRDefault="000138DE" w:rsidP="000138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138DE" w:rsidRDefault="000138DE" w:rsidP="000138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PROCES-VERBAL:</w:t>
      </w:r>
    </w:p>
    <w:tbl>
      <w:tblPr>
        <w:tblStyle w:val="TableGrid1"/>
        <w:tblW w:w="988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00"/>
        <w:gridCol w:w="12"/>
        <w:gridCol w:w="3891"/>
        <w:gridCol w:w="5382"/>
      </w:tblGrid>
      <w:tr w:rsidR="000138DE" w:rsidTr="00C71A98">
        <w:trPr>
          <w:trHeight w:val="1603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DE" w:rsidRDefault="000138DE" w:rsidP="00C71A9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APEL PREZENȚĂ:</w:t>
            </w:r>
          </w:p>
          <w:p w:rsidR="000138DE" w:rsidRDefault="000138DE" w:rsidP="00C71A9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Decan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Nicolescu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Dragoș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-Andrei</w:t>
            </w:r>
          </w:p>
          <w:p w:rsidR="000138DE" w:rsidRDefault="000138DE" w:rsidP="00C71A9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Prodecan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Ioana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Luminița</w:t>
            </w:r>
            <w:proofErr w:type="spellEnd"/>
          </w:p>
          <w:p w:rsidR="000138DE" w:rsidRDefault="000138DE" w:rsidP="00C71A9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0138DE" w:rsidRPr="00305C96" w:rsidRDefault="000138DE" w:rsidP="00C71A9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Consilieri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: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Lazăr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Laura,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Preoteasa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Valeria,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Predescu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Florina,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Brândușa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Stănescu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Paul,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Șerban-Barbu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Dorin</w:t>
            </w:r>
            <w:proofErr w:type="spellEnd"/>
          </w:p>
        </w:tc>
      </w:tr>
      <w:tr w:rsidR="000138DE" w:rsidTr="00C71A98">
        <w:trPr>
          <w:trHeight w:val="300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I. CERERI</w:t>
            </w:r>
          </w:p>
        </w:tc>
      </w:tr>
      <w:tr w:rsidR="000138DE" w:rsidTr="00C71A98">
        <w:trPr>
          <w:trHeight w:val="300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013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solicită acordarea a 200 serii contracte asistență juridică și 200 serii împuterniciri avocațiale.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Pr="004D0F35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D0F3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amite decizie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8DE" w:rsidTr="00C71A98">
        <w:trPr>
          <w:trHeight w:val="300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013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solicită aprobare înființare cabinet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referat dl. Decan av. Nicolescu Dragoș-Andrei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Pr="00DB53B0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B53B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8DE" w:rsidTr="00C71A98">
        <w:trPr>
          <w:trHeight w:val="300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013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solicită continuarea activității după pensionarea la limită de vârstă (are adeverintă medicală).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Pr="00DB53B0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B53B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8DE" w:rsidTr="00C71A98">
        <w:trPr>
          <w:trHeight w:val="300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  <w:p w:rsidR="000138DE" w:rsidRDefault="000138DE" w:rsidP="00C71A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Filiala Argeș a Casei de Asigurări a Avocaților</w:t>
            </w:r>
          </w:p>
          <w:p w:rsidR="000138DE" w:rsidRDefault="000138DE" w:rsidP="00C71A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solicită clarificare privind verificarea contractelor de asistență juridică în cadrul controlului efectuat de Filiala Argeș a Casei de Asigurări a Avocaților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Pr="007677F2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Dl. Decan av. Nicolescu Dragoș-Andrei și d</w:t>
            </w:r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-na Prodecan av. Ioana Luminița v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or formula</w:t>
            </w:r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răspunsul pentru av.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xxxx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punct de vedere ref. solicitare av. xxxx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8DE" w:rsidTr="00C71A98">
        <w:trPr>
          <w:trHeight w:val="300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013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Av. 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solicită suspendarea din profesie pentru concediu îngrijire copil cu data de 01.11.2025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Pr="00DB53B0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B53B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 Se aprobă. Se emite decizie.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8DE" w:rsidTr="00C71A98">
        <w:trPr>
          <w:trHeight w:val="280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II. PLÂNGERI/SESIZĂRI</w:t>
            </w:r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Pr="007A5030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50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17F3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Dl. av. </w:t>
            </w:r>
            <w:proofErr w:type="spellStart"/>
            <w:r w:rsidRPr="00417F3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417F3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 w:rsidRPr="00417F3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Pr="00734710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  <w:t>7</w:t>
            </w:r>
            <w:r w:rsidRPr="007347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Filiala Argeș a Casei de Asigurări a Avocaților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sesizare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ref.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abateri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nereguli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constatate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av.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</w:t>
            </w:r>
            <w:proofErr w:type="gram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ocazia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efectuării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inspectiei</w:t>
            </w:r>
            <w:proofErr w:type="spellEnd"/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Doamna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Prodecan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Ioana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Luminița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doamna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consilier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27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S-a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prezentat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ședința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Consiliului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Baroului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Argeș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dl.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depus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punct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vedere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privire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aspectele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sesizate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Consiliul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Administrație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Filialei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Argeș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 a</w:t>
            </w:r>
            <w:proofErr w:type="gram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Casei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Asigurări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Avocaților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Domnul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Decan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Nicolescu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Dragoș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-Andrei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precizează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faptul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punct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vedere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procedural,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există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doar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singură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faptă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anume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nu 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predat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carnetele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delegații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până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data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ședinței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Consiliul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Baroului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Argeș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nu 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fost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învestit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privire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sesizarea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unei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alte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fapte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4A1D71" w:rsidRPr="00247CDA" w:rsidRDefault="004A1D71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Cu  7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voturi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unul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împotrivă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nu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exercită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acțiunea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disciplinară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av.xxxx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Domnul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Decan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Nicolescu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Dragoș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-Andrei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propune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formularea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răspunsului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către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Filiala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Argeș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Casei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Asigurări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Avocaților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astfel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gram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”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Consiliul</w:t>
            </w:r>
            <w:proofErr w:type="spellEnd"/>
            <w:proofErr w:type="gram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constată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inadvertențe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ceea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privește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modalitatea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exercitare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profesiei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ținerea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evidenței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actelor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cabinetului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însă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suficient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grave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încât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contureze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certitudine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fără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niciun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dubiu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posibilă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abatere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disciplinară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conducă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exercitarea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acțiunii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disciplinare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însă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Consiliul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decide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să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-l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consilieze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dl.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ceea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privește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respectarea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prevederilor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legale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statutare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viitor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analizând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posibilitatea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chemării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control de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către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Consiliu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mod periodic a d-</w:t>
            </w:r>
            <w:proofErr w:type="spellStart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lui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”.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Vot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unanim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0138DE" w:rsidRPr="00247CDA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247CD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ANAF – Directia Regionala Antifrauda Fiscala 3 Alexandria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trimite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solutionare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sesizarea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formulată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 w:rsidR="002742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354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Dl. av. </w:t>
            </w:r>
            <w:proofErr w:type="spellStart"/>
            <w:r w:rsidRPr="008354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83542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Pr="007677F2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clasează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cauza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motivarea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că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avocații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nu au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obligația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să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emită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bon fiscal. 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D-</w:t>
            </w:r>
            <w:proofErr w:type="spellStart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avocat</w:t>
            </w:r>
            <w:proofErr w:type="spellEnd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0138DE" w:rsidRPr="00B77F32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Default="000138DE" w:rsidP="004A1D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-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Pr="00734710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  <w:t>10</w:t>
            </w:r>
            <w:r w:rsidRPr="007347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U.A.T. Beleți-Negrești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UNBR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trimite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soluționare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formulată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UAT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Beleți-Negrești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Pr="00B77F32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D-</w:t>
            </w:r>
            <w:proofErr w:type="spellStart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avocat</w:t>
            </w:r>
            <w:proofErr w:type="spellEnd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B77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contestație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10/12.09.2025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care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clasata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cauza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întrucât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restituit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2000 lei, din 4000 lei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onorariu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(nu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150 lei).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clasează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cauza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neachiarea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taxei</w:t>
            </w:r>
            <w:proofErr w:type="spellEnd"/>
            <w:r w:rsidRPr="007677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150 lei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Filiala Argeș a Casei de Asigurări a Avocaților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0138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sesizare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neprezentarea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documentelor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control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catre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numar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Pr="00A90511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amână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138DE" w:rsidTr="00C71A98">
        <w:trPr>
          <w:trHeight w:val="1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plângere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împotriva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taxa de 300 lei)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Pr="00A90511" w:rsidRDefault="000138DE" w:rsidP="00C71A98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repartizează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d-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nei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consilier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vederea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cercetării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disciplinare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prealabile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 d-</w:t>
            </w:r>
            <w:proofErr w:type="spellStart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nei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 w:rsidRPr="00A905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138DE" w:rsidTr="00C71A98">
        <w:trPr>
          <w:trHeight w:val="416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50E0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 DIVERSE</w:t>
            </w:r>
          </w:p>
        </w:tc>
      </w:tr>
      <w:tr w:rsidR="000138DE" w:rsidTr="00C71A98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DE" w:rsidRPr="00734710" w:rsidRDefault="000138DE" w:rsidP="00C71A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br w:type="page"/>
            </w:r>
            <w:r w:rsidRPr="007347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47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0138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Domnul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Decan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Nicolescu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Dragoș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-Andrei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aduce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cunostință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membrilor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Baroului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Argeș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propunerea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Organizare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lansare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carte dl.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</w:p>
          <w:p w:rsidR="000138DE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Pr="00F60737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Vot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unanim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dar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fără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costuri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partea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Baroului</w:t>
            </w:r>
            <w:proofErr w:type="spellEnd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3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Argeș</w:t>
            </w:r>
            <w:proofErr w:type="spellEnd"/>
          </w:p>
        </w:tc>
      </w:tr>
      <w:tr w:rsidR="000138DE" w:rsidTr="00C71A98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Pr="00145928" w:rsidRDefault="000138DE" w:rsidP="00C71A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9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Default="000138DE" w:rsidP="00C71A9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Restanţieri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cf.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tabelului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comunicat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Filiala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Arges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Casei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Asigurări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Avocaţilor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DE" w:rsidRPr="00734710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restanțierii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 5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luni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xxxx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– 4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luni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restanță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plata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contribuțiilor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profesionale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au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emise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decizii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suspendare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mențiunea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acestea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își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vor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produce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efectele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 data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01.11. 2025,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dacă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01.11.2025, nu se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achita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contributiile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restante.</w:t>
            </w:r>
          </w:p>
          <w:p w:rsidR="000138DE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avocații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 3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luni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restanțe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plata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contribuțiilor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profesionale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au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emise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notificări</w:t>
            </w:r>
            <w:proofErr w:type="spellEnd"/>
            <w:r w:rsidRPr="007347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0138DE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Pr="00A57188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- 6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4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</w:t>
            </w:r>
            <w:proofErr w:type="spellEnd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0138DE" w:rsidRPr="00A57188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- 5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avocat</w:t>
            </w:r>
            <w:proofErr w:type="spellEnd"/>
          </w:p>
          <w:p w:rsidR="000138DE" w:rsidRPr="00A57188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- 4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</w:t>
            </w:r>
            <w:proofErr w:type="spellEnd"/>
          </w:p>
          <w:p w:rsidR="000138DE" w:rsidRPr="00A57188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- 3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– 7 </w:t>
            </w:r>
            <w:proofErr w:type="spellStart"/>
            <w:r w:rsidRPr="00A571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</w:t>
            </w:r>
            <w:proofErr w:type="spellEnd"/>
          </w:p>
          <w:p w:rsidR="000138DE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138DE" w:rsidRPr="003B2BC4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- Se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vor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emite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decizii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revocare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deciziilor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suspendare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care au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termen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intrare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vigoare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data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01.11.2025.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ții </w:t>
            </w:r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care au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restanțe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luni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plata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contribuțiilor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profesionale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vor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emite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notificări</w:t>
            </w:r>
            <w:proofErr w:type="spellEnd"/>
            <w:proofErr w:type="gram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iar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avocații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care au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restanțe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5, 6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lastRenderedPageBreak/>
              <w:t>luni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dl. av.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xxxx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,  se</w:t>
            </w:r>
            <w:proofErr w:type="gram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vor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emite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decizii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suspendare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își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vor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produce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efectele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începând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cu data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15.12.2025,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dacă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până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aceasta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data nu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achită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cpntribuțiile</w:t>
            </w:r>
            <w:proofErr w:type="spellEnd"/>
            <w:r w:rsidRPr="003B2B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restante.</w:t>
            </w:r>
          </w:p>
          <w:p w:rsidR="000138DE" w:rsidRPr="00AB0476" w:rsidRDefault="000138DE" w:rsidP="00C71A98">
            <w:pPr>
              <w:tabs>
                <w:tab w:val="left" w:pos="1218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138DE" w:rsidTr="00C71A98">
        <w:trPr>
          <w:trHeight w:val="4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DE" w:rsidRDefault="000138DE" w:rsidP="00C71A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DE" w:rsidRDefault="000138DE" w:rsidP="00C71A9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Următoarea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ședință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DE" w:rsidRDefault="000138DE" w:rsidP="00C71A98">
            <w:pPr>
              <w:tabs>
                <w:tab w:val="left" w:pos="1218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24.11.2025,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15.00</w:t>
            </w:r>
          </w:p>
        </w:tc>
      </w:tr>
    </w:tbl>
    <w:p w:rsidR="000138DE" w:rsidRPr="00305C96" w:rsidRDefault="000138DE" w:rsidP="000138DE"/>
    <w:p w:rsidR="000138DE" w:rsidRDefault="000138DE" w:rsidP="000138DE"/>
    <w:p w:rsidR="00210628" w:rsidRDefault="00210628"/>
    <w:sectPr w:rsidR="00210628" w:rsidSect="002742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22"/>
    <w:rsid w:val="000138DE"/>
    <w:rsid w:val="00133A27"/>
    <w:rsid w:val="00210628"/>
    <w:rsid w:val="00274273"/>
    <w:rsid w:val="00342C61"/>
    <w:rsid w:val="004A1D71"/>
    <w:rsid w:val="004F0FA3"/>
    <w:rsid w:val="007F7E22"/>
    <w:rsid w:val="00E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7733"/>
  <w15:chartTrackingRefBased/>
  <w15:docId w15:val="{881BD15B-1C50-4F23-B3CF-B438976C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DE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0138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809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Baroul Arges</dc:creator>
  <cp:keywords/>
  <dc:description/>
  <cp:lastModifiedBy>Baroul Arges</cp:lastModifiedBy>
  <cp:revision>6</cp:revision>
  <dcterms:created xsi:type="dcterms:W3CDTF">2025-10-27T07:15:00Z</dcterms:created>
  <dcterms:modified xsi:type="dcterms:W3CDTF">2025-11-03T07:39:00Z</dcterms:modified>
</cp:coreProperties>
</file>