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05" w:rsidRDefault="007C2405" w:rsidP="007C24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BAROUL ARGEŞ</w:t>
      </w: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CONSILIUL BAROULUI ARGEŞ</w:t>
      </w: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ŞEDINŢA DE CONSILIU DIN 15.04.2024, ora 15:00 </w:t>
      </w: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PROCES-VERBAL:</w:t>
      </w:r>
    </w:p>
    <w:p w:rsidR="007C2405" w:rsidRDefault="007C2405" w:rsidP="007C24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7C2405" w:rsidRPr="0007512B" w:rsidTr="00E1316B">
        <w:trPr>
          <w:trHeight w:val="160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751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APEL PREZENŢĂ:</w:t>
            </w:r>
          </w:p>
          <w:p w:rsidR="007C2405" w:rsidRDefault="007C2405" w:rsidP="00E131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C2405" w:rsidRPr="00F86CF6" w:rsidRDefault="007C2405" w:rsidP="00E1316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Drago</w:t>
            </w: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ș-Andrei</w:t>
            </w:r>
          </w:p>
          <w:p w:rsidR="007C2405" w:rsidRPr="00F86CF6" w:rsidRDefault="007C2405" w:rsidP="00E1316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Prodecan av. Ioana Luminița</w:t>
            </w:r>
          </w:p>
          <w:p w:rsidR="007C2405" w:rsidRPr="00F86CF6" w:rsidRDefault="007C2405" w:rsidP="00E1316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C2405" w:rsidRPr="0007512B" w:rsidRDefault="007C2405" w:rsidP="00E131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Consilieri: av. Cursaru Nina, av. Lazăr Laura, av. Horjescu Marius, av. Predescu Florina, av. Stănescu Paul, av. Șerban Barbu Dorin</w:t>
            </w: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7C2405" w:rsidTr="00E1316B">
        <w:trPr>
          <w:trHeight w:val="36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I. CERERI</w:t>
            </w:r>
          </w:p>
        </w:tc>
      </w:tr>
      <w:tr w:rsidR="007C2405" w:rsidTr="00E1316B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CA238E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Av. stagiar 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solicit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transfer din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București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(contract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încheiat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Cabinet individual „Av.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Pavelescu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Valentin).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transferul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jurământ</w:t>
            </w:r>
            <w:proofErr w:type="spellEnd"/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depus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jurământul</w:t>
            </w:r>
            <w:proofErr w:type="spellEnd"/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D80B80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continuarea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pensionare</w:t>
            </w:r>
            <w:proofErr w:type="spellEnd"/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3E7D06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br w:type="page"/>
              <w:t>3</w:t>
            </w:r>
            <w:r w:rsidRPr="003E7D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continuarea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pensionare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limită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adeverință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</w:pPr>
            <w: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retragerea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definitivă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01.05.2024 (nu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dosare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instanțelor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radiere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tablou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virarea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onorariilor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oficiu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soțului</w:t>
            </w:r>
            <w:proofErr w:type="spellEnd"/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cabinetului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atasat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corespondenta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e-mail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F86CF6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I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pune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deschidă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forma de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exercitare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profesiei</w:t>
            </w:r>
            <w:proofErr w:type="spellEnd"/>
            <w:r w:rsidRPr="00F86CF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520170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C2405" w:rsidRDefault="007C2405" w:rsidP="007C2405">
      <w:r>
        <w:br w:type="page"/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6"/>
        <w:gridCol w:w="5669"/>
      </w:tblGrid>
      <w:tr w:rsidR="007C2405" w:rsidTr="00E1316B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05" w:rsidRDefault="007C2405" w:rsidP="00E1316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7C2405" w:rsidTr="00E1316B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disciplinară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(a achitat taxa de 600 lei); revenire plângere disciplinară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Dl.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6101E9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amână, în vederea depunerii unui punct de vedere de către dl. av. Pan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țoiu</w:t>
            </w:r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Dan Mihai</w:t>
            </w:r>
          </w:p>
          <w:p w:rsidR="007C2405" w:rsidRPr="00EF6DA3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sesizare cu privire la comportamentul comisarului de poliție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IPJ.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06E">
              <w:rPr>
                <w:rFonts w:ascii="Times New Roman" w:eastAsia="Times New Roman" w:hAnsi="Times New Roman"/>
                <w:sz w:val="24"/>
                <w:szCs w:val="24"/>
              </w:rPr>
              <w:t xml:space="preserve">- Dl.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9C2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2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amână. I se va pune în vedere d-nei avocat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xxxxx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 depună dovezi în sensul celor sesizate.</w:t>
            </w:r>
          </w:p>
          <w:p w:rsidR="007C2405" w:rsidRPr="009C206E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405" w:rsidTr="00E1316B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sesizare cu privire la exercitarea fără drept a profesiei de avocat de către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D24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d-lui av. consilier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6D24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efectuării cercetărilor.</w:t>
            </w:r>
          </w:p>
          <w:p w:rsidR="007C2405" w:rsidRPr="006D2457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2405" w:rsidTr="00E1316B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05" w:rsidRDefault="007C2405" w:rsidP="00E1316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68462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68462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INFORMĂRI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 s-a primit răspuns de la Parchetul de pe lângă Curtea de Apel Pitești privind stadiul cercetărilor.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Pr="006101E9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va reveni cu adresă către Parchetul de pe lângă Curtea de Apel Pitești, referitor la stadiul cercetărilor în dosarul penal.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1/2019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22.01.2024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 Comisia a respins acțiunea formulata de Consiliul Baroului Argeș. Urmează redactarea hotărârii.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nr.1/2023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14.11.2023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Urmează redactarea hotărârii.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14.11.2023 -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Urmează redactarea hotărârii.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15.03.2024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22.03.2024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ș. Urmează redactarea hotărârii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reveni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urgentării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7C2405" w:rsidRPr="003337B1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B76287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7/31.01.2024 –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respinge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inadmisibilă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contestatia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36/13.09.2023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înaintează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competenta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B762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C2405" w:rsidRPr="00B76287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Pr="00B76287" w:rsidRDefault="007C2405" w:rsidP="00E131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287">
              <w:rPr>
                <w:rFonts w:ascii="Times New Roman" w:hAnsi="Times New Roman"/>
                <w:sz w:val="24"/>
                <w:szCs w:val="24"/>
              </w:rPr>
              <w:t>- S-a trimis adresă către U.N.B.R.  să precizeze daca mențiunea de la art. 1 din decizie  ”... și se inaintează Baroului Argeș spre competentă soluționare.” este o eroare materială, iar în caz afirmativ, să dispună îndreptarea acesteia și să se comunice soluția</w:t>
            </w:r>
            <w:r w:rsidRPr="00B762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2405" w:rsidRPr="00B76287" w:rsidRDefault="007C2405" w:rsidP="00E13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(nu s-a primit răspuns)</w:t>
            </w:r>
          </w:p>
          <w:p w:rsidR="007C2405" w:rsidRDefault="007C2405" w:rsidP="00E13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405" w:rsidRPr="00B76287" w:rsidRDefault="007C2405" w:rsidP="007C240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8462E">
              <w:rPr>
                <w:rFonts w:ascii="Times New Roman" w:hAnsi="Times New Roman"/>
                <w:b/>
                <w:i/>
                <w:sz w:val="24"/>
                <w:szCs w:val="24"/>
              </w:rPr>
              <w:t>- Se revine cu adresă către U.N.B.R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Pitești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răspuns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sprijinul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amplasării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clădirea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Pitești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plăcuțe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aniversare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Pitești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întreg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obținerea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autorizațiilor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bugetul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2024, nu 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prevăzute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asemenea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Pr="00DA2E5F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revine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li se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aduce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cunoștință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suporta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toate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cheltuielile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obținerea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avizelor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necesare</w:t>
            </w:r>
            <w:proofErr w:type="spellEnd"/>
            <w:r w:rsidRPr="00DA2E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7C2405" w:rsidRPr="00B76287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C2405" w:rsidTr="00E1316B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05" w:rsidRPr="00B76287" w:rsidRDefault="007C2405" w:rsidP="00E1316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7628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7628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7628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 DIVERSE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spatiilor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prezentare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regulament</w:t>
            </w:r>
            <w:proofErr w:type="spellEnd"/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Pr="006101E9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6101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Invitatie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Economice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Drept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Pitesti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Festivalul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educational POLIFEST – 18-20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2024,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intervalul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10.00 – 16.00.</w:t>
            </w: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Întrucât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atât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Dragș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-Andrei,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cât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Zilele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Cluj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eveniment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Marius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715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Paul. </w:t>
            </w: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Incompatibilitatea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agent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poliție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promovează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examenul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admitere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profesie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dobândește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calitatea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stagiar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interpretare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466398" w:rsidRDefault="007C2405" w:rsidP="007C2405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Se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formulării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adrese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I.P.J.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813AC0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13A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813A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813AC0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13A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813AC0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propune ca în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aplicația</w:t>
            </w: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SAJ să fie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introdusă o funcție </w:t>
            </w: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prin care delegațiile din oficiu să fie transmise pe e-mail și instanțelor de judecata.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405" w:rsidRPr="00813AC0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49A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- Dl. Sima Răzav va fi invitat la ședința de consiliu din 20 mai 2024.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813AC0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813AC0" w:rsidRDefault="007C2405" w:rsidP="007C24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Propune acordarea de prime pentru Paște salariaților.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405" w:rsidRPr="00E251F8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251F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- Se aprobă. Se vor acorda la nivelul celor de anul trecut + 100 lei.</w:t>
            </w: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Desemnare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preluarea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atribuțiilor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funcției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18-20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2024.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2405" w:rsidRPr="00597139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9713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- Se desemnează dl. av. consilier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xxxx</w:t>
            </w:r>
            <w:r w:rsidRPr="0059713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C2405" w:rsidRDefault="007C2405" w:rsidP="00E131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5D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invitații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restanțierii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2405" w:rsidRPr="00466398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trimite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invitații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tuturor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restanțierilor</w:t>
            </w:r>
            <w:proofErr w:type="spellEnd"/>
            <w:r w:rsidRPr="004663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7C2405" w:rsidRPr="00466398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C2405" w:rsidRDefault="007C2405" w:rsidP="00E1316B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C2405" w:rsidTr="00E1316B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Default="007C2405" w:rsidP="00E1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05" w:rsidRPr="00BA7997" w:rsidRDefault="007C2405" w:rsidP="00E1316B">
            <w:pPr>
              <w:tabs>
                <w:tab w:val="left" w:pos="121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2024,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</w:tc>
      </w:tr>
    </w:tbl>
    <w:p w:rsidR="007C2405" w:rsidRDefault="007C2405" w:rsidP="007C2405"/>
    <w:p w:rsidR="007C2405" w:rsidRDefault="007C2405" w:rsidP="007C2405"/>
    <w:p w:rsidR="00305485" w:rsidRDefault="00305485">
      <w:bookmarkStart w:id="0" w:name="_GoBack"/>
      <w:bookmarkEnd w:id="0"/>
    </w:p>
    <w:sectPr w:rsidR="00305485" w:rsidSect="007C24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85"/>
    <w:rsid w:val="00305485"/>
    <w:rsid w:val="00373635"/>
    <w:rsid w:val="007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D1B"/>
  <w15:chartTrackingRefBased/>
  <w15:docId w15:val="{C6939948-691D-47AC-9FF2-FBB7194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0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0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7C24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3</cp:revision>
  <dcterms:created xsi:type="dcterms:W3CDTF">2024-04-22T09:23:00Z</dcterms:created>
  <dcterms:modified xsi:type="dcterms:W3CDTF">2024-04-22T09:31:00Z</dcterms:modified>
</cp:coreProperties>
</file>